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4C8A27AF"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A61B1E">
        <w:rPr>
          <w:b/>
          <w:bCs/>
          <w:sz w:val="26"/>
          <w:szCs w:val="26"/>
          <w:lang w:val="es-419"/>
        </w:rPr>
        <w:t>2</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D3321FE"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6CA4F328"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w:t>
      </w:r>
      <w:r>
        <w:rPr>
          <w:sz w:val="24"/>
          <w:szCs w:val="24"/>
        </w:rPr>
        <w:lastRenderedPageBreak/>
        <w:t xml:space="preserve">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3A352B5B"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15697F">
        <w:rPr>
          <w:b/>
          <w:bCs/>
          <w:sz w:val="24"/>
          <w:szCs w:val="24"/>
        </w:rPr>
        <w:t>77,166.09</w:t>
      </w:r>
      <w:r w:rsidR="002479B6">
        <w:rPr>
          <w:b/>
          <w:bCs/>
          <w:sz w:val="24"/>
          <w:szCs w:val="24"/>
        </w:rPr>
        <w:t xml:space="preserve"> </w:t>
      </w:r>
      <w:r>
        <w:rPr>
          <w:sz w:val="24"/>
          <w:szCs w:val="24"/>
        </w:rPr>
        <w:t>(</w:t>
      </w:r>
      <w:r w:rsidR="0015697F">
        <w:rPr>
          <w:sz w:val="24"/>
          <w:szCs w:val="24"/>
        </w:rPr>
        <w:t>SETENTA Y SIETE</w:t>
      </w:r>
      <w:r w:rsidR="002479B6">
        <w:rPr>
          <w:sz w:val="24"/>
          <w:szCs w:val="24"/>
        </w:rPr>
        <w:t xml:space="preserve"> </w:t>
      </w:r>
      <w:r>
        <w:rPr>
          <w:sz w:val="24"/>
          <w:szCs w:val="24"/>
        </w:rPr>
        <w:t xml:space="preserve">MIL, </w:t>
      </w:r>
      <w:r w:rsidR="0015697F">
        <w:rPr>
          <w:sz w:val="24"/>
          <w:szCs w:val="24"/>
        </w:rPr>
        <w:t>CIENTO SESENTA Y SEIS</w:t>
      </w:r>
      <w:r>
        <w:rPr>
          <w:sz w:val="24"/>
          <w:szCs w:val="24"/>
        </w:rPr>
        <w:t xml:space="preserve"> PESOS </w:t>
      </w:r>
      <w:r w:rsidR="002479B6">
        <w:rPr>
          <w:sz w:val="24"/>
          <w:szCs w:val="24"/>
        </w:rPr>
        <w:t xml:space="preserve"> </w:t>
      </w:r>
      <w:r w:rsidR="0015697F">
        <w:rPr>
          <w:sz w:val="24"/>
          <w:szCs w:val="24"/>
        </w:rPr>
        <w:t>09</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7EEDCE8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15697F">
        <w:rPr>
          <w:b/>
          <w:bCs/>
          <w:sz w:val="24"/>
          <w:szCs w:val="24"/>
        </w:rPr>
        <w:t xml:space="preserve">$77,166.09 </w:t>
      </w:r>
      <w:r w:rsidR="0015697F">
        <w:rPr>
          <w:sz w:val="24"/>
          <w:szCs w:val="24"/>
        </w:rPr>
        <w:t>(SETENTA Y SIETE MIL, CIENTO SESENTA Y SEIS PESOS  09/100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8651" w14:textId="77777777" w:rsidR="00455771" w:rsidRDefault="00455771">
      <w:pPr>
        <w:spacing w:after="0" w:line="240" w:lineRule="auto"/>
      </w:pPr>
      <w:r>
        <w:separator/>
      </w:r>
    </w:p>
  </w:endnote>
  <w:endnote w:type="continuationSeparator" w:id="0">
    <w:p w14:paraId="7C772ADF" w14:textId="77777777" w:rsidR="00455771" w:rsidRDefault="0045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F713" w14:textId="77777777" w:rsidR="00455771" w:rsidRDefault="00455771">
      <w:pPr>
        <w:spacing w:after="0" w:line="240" w:lineRule="auto"/>
      </w:pPr>
      <w:r>
        <w:rPr>
          <w:color w:val="000000"/>
        </w:rPr>
        <w:separator/>
      </w:r>
    </w:p>
  </w:footnote>
  <w:footnote w:type="continuationSeparator" w:id="0">
    <w:p w14:paraId="2922E9E8" w14:textId="77777777" w:rsidR="00455771" w:rsidRDefault="00455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F5E9F"/>
    <w:rsid w:val="0015697F"/>
    <w:rsid w:val="001941B7"/>
    <w:rsid w:val="002479B6"/>
    <w:rsid w:val="002C5F32"/>
    <w:rsid w:val="0034753C"/>
    <w:rsid w:val="003623FE"/>
    <w:rsid w:val="00455771"/>
    <w:rsid w:val="004B4174"/>
    <w:rsid w:val="00526E7A"/>
    <w:rsid w:val="005D4BFA"/>
    <w:rsid w:val="006E32B8"/>
    <w:rsid w:val="00730525"/>
    <w:rsid w:val="00757EE2"/>
    <w:rsid w:val="009857B7"/>
    <w:rsid w:val="00A108CE"/>
    <w:rsid w:val="00A4289E"/>
    <w:rsid w:val="00A61B1E"/>
    <w:rsid w:val="00A92586"/>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2023-01-25T17:45:00Z</cp:lastPrinted>
  <dcterms:created xsi:type="dcterms:W3CDTF">2023-01-25T17:00:00Z</dcterms:created>
  <dcterms:modified xsi:type="dcterms:W3CDTF">2023-01-25T17:45:00Z</dcterms:modified>
</cp:coreProperties>
</file>